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val="it-IT"/>
        </w:rPr>
      </w:pPr>
      <w:r w:rsidRPr="00EB449E"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val="it-IT"/>
        </w:rPr>
        <w:t xml:space="preserve">Piano formativo </w:t>
      </w:r>
      <w:r w:rsidRPr="00EB449E"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val="it-IT"/>
        </w:rPr>
        <w:t>SID Sar</w:t>
      </w:r>
      <w:r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val="it-IT"/>
        </w:rPr>
        <w:t xml:space="preserve">degna </w:t>
      </w:r>
      <w:r w:rsidRPr="00EB449E">
        <w:rPr>
          <w:rFonts w:ascii="Arial" w:hAnsi="Arial" w:cs="Arial"/>
          <w:b/>
          <w:bCs/>
          <w:color w:val="000000"/>
          <w:sz w:val="21"/>
          <w:szCs w:val="21"/>
          <w:u w:val="single"/>
          <w:bdr w:val="none" w:sz="0" w:space="0" w:color="auto" w:frame="1"/>
          <w:lang w:val="it-IT"/>
        </w:rPr>
        <w:t>2014 – 2015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bookmarkStart w:id="0" w:name="_GoBack"/>
      <w:bookmarkEnd w:id="0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Prevede la realizzazione di due tipologie di formazione: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color w:val="000000"/>
          <w:sz w:val="21"/>
          <w:szCs w:val="21"/>
          <w:lang w:val="it-IT"/>
        </w:rPr>
        <w:t>A. Formazione indirizzata trainers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color w:val="000000"/>
          <w:sz w:val="21"/>
          <w:szCs w:val="21"/>
          <w:lang w:val="it-IT"/>
        </w:rPr>
        <w:t>B. Formazione rivolta ai docenti della scuola primaria e secondaria di primo grado</w:t>
      </w:r>
    </w:p>
    <w:p w:rsidR="00EB449E" w:rsidRP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it-IT"/>
        </w:rPr>
        <w:t>A. Formazione indirizzata trainers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color w:val="000000"/>
          <w:sz w:val="21"/>
          <w:szCs w:val="21"/>
          <w:lang w:val="it-IT"/>
        </w:rPr>
        <w:t>È finalizzata alla conoscenza del metodo della ricerca IBSE, alla conoscenza del ruolo dei trainers, all’utilizzo degli strumenti IBSE e all’uso degli strumenti di valutazione e dei report.</w:t>
      </w:r>
    </w:p>
    <w:p w:rsidR="00EB449E" w:rsidRP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lang w:val="it-IT"/>
        </w:rPr>
        <w:t>B. Formazione rivolta ai docenti della scuola primaria e secondaria di primo grado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Sarà articolata in due incontri destinati ai trainers del progetto e </w:t>
      </w:r>
      <w:proofErr w:type="gram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a  tutti</w:t>
      </w:r>
      <w:proofErr w:type="gram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i dirigenti e ai docenti della scuola primaria e secondaria di primo grado della Sardegna. È finalizzata alla presentazione del Programma pluriennale denominato “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Scientiam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Inquirendo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Discere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” avviato nell’anno scolastico 2011-2012 dall’ANISN e l’Accademia dei Lincei con il supporto del MIUR la cui finalità è quella di disseminare su ampia scala l’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Inquiry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Based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Science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Education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– IBSE in Italia in collaborazione con il Programma francese La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main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à la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pâte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.</w:t>
      </w:r>
    </w:p>
    <w:p w:rsidR="00EB449E" w:rsidRP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  <w:lang w:val="it-IT"/>
        </w:rPr>
      </w:pPr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Il programma operativo prevede la </w:t>
      </w:r>
      <w:proofErr w:type="gram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promozione  presso</w:t>
      </w:r>
      <w:proofErr w:type="gram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la scuola di un metodo innovativo di insegnamento delle scienze che prende spunto dal progetto La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main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à la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pâte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, metodo pedagogico già ampiamente diffuso in Europa ad iniziativa delle più importanti Accademie, che si fonda sul metodo sperimentale per l’insegnamento delle scienze ed è oggetto di accordo di collaborazione tra l’Accademia Nazionale dei Lincei e l’Académie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des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 xml:space="preserve"> </w:t>
      </w:r>
      <w:proofErr w:type="spellStart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Sciences</w:t>
      </w:r>
      <w:proofErr w:type="spellEnd"/>
      <w:r w:rsidRPr="00EB449E">
        <w:rPr>
          <w:rFonts w:ascii="Arial" w:hAnsi="Arial" w:cs="Arial"/>
          <w:color w:val="000000"/>
          <w:sz w:val="21"/>
          <w:szCs w:val="21"/>
          <w:lang w:val="it-IT"/>
        </w:rPr>
        <w:t>”.</w:t>
      </w:r>
    </w:p>
    <w:p w:rsid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05049"/>
          <w:sz w:val="21"/>
          <w:szCs w:val="21"/>
          <w:bdr w:val="none" w:sz="0" w:space="0" w:color="auto" w:frame="1"/>
        </w:rPr>
        <w:drawing>
          <wp:inline distT="0" distB="0" distL="0" distR="0">
            <wp:extent cx="2514600" cy="1485900"/>
            <wp:effectExtent l="0" t="0" r="0" b="0"/>
            <wp:docPr id="3" name="Immagine 3" descr="immagin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05049"/>
          <w:sz w:val="21"/>
          <w:szCs w:val="21"/>
          <w:bdr w:val="none" w:sz="0" w:space="0" w:color="auto" w:frame="1"/>
        </w:rPr>
        <w:drawing>
          <wp:inline distT="0" distB="0" distL="0" distR="0">
            <wp:extent cx="2857500" cy="1066800"/>
            <wp:effectExtent l="0" t="0" r="0" b="0"/>
            <wp:docPr id="2" name="Immagine 2" descr="Università_Sassari_uniss-800x30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tà_Sassari_uniss-800x30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B449E" w:rsidRDefault="00EB449E" w:rsidP="00EB449E">
      <w:pPr>
        <w:pStyle w:val="NormaleWeb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605049"/>
          <w:sz w:val="21"/>
          <w:szCs w:val="21"/>
          <w:bdr w:val="none" w:sz="0" w:space="0" w:color="auto" w:frame="1"/>
        </w:rPr>
        <w:drawing>
          <wp:inline distT="0" distB="0" distL="0" distR="0">
            <wp:extent cx="1771650" cy="952500"/>
            <wp:effectExtent l="0" t="0" r="0" b="0"/>
            <wp:docPr id="1" name="Immagine 1" descr="unis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is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49E" w:rsidRDefault="00EB449E" w:rsidP="00EB449E">
      <w:pPr>
        <w:pStyle w:val="NormaleWeb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D4C18" w:rsidRDefault="00EB449E"/>
    <w:sectPr w:rsidR="004D4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E"/>
    <w:rsid w:val="00526480"/>
    <w:rsid w:val="00B30607"/>
    <w:rsid w:val="00EB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95F6B"/>
  <w15:chartTrackingRefBased/>
  <w15:docId w15:val="{8A5CB2F0-5D43-483A-98F4-BF0CDF7E4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4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isn.it/nuovosito/wp-content/uploads/2014/11/uniss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nisn.it/nuovosito/wp-content/uploads/2014/11/Universit%C3%A0_Sassari_uniss-800x300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anisn.it/nuovosito/wp-content/uploads/2014/11/immagini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</dc:creator>
  <cp:keywords/>
  <dc:description/>
  <cp:lastModifiedBy>Raffaele</cp:lastModifiedBy>
  <cp:revision>1</cp:revision>
  <dcterms:created xsi:type="dcterms:W3CDTF">2017-12-19T21:33:00Z</dcterms:created>
  <dcterms:modified xsi:type="dcterms:W3CDTF">2017-12-19T21:34:00Z</dcterms:modified>
</cp:coreProperties>
</file>